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ED50D" w14:textId="12A372AB" w:rsidR="001B76BD" w:rsidRDefault="001B76BD" w:rsidP="001B76BD">
      <w:pPr>
        <w:widowControl w:val="0"/>
        <w:spacing w:after="0" w:line="240" w:lineRule="auto"/>
        <w:jc w:val="both"/>
      </w:pPr>
      <w:r w:rsidRPr="001B76BD">
        <w:t xml:space="preserve">En atención al escrito remitido por la Asociación Sindical e Integral de Conductores de Hidrocarburos y Carga del Putumayo – ASOICOHICAP y la Asociación Sindical de Conductores de Villagarzón Putumayo – ASOCOVIP, trasladado a esta </w:t>
      </w:r>
      <w:r>
        <w:t>c</w:t>
      </w:r>
      <w:r w:rsidRPr="001B76BD">
        <w:t xml:space="preserve">artera por la Agencia Nacional de Hidrocarburos </w:t>
      </w:r>
      <w:r w:rsidR="00FD043C">
        <w:t>con el</w:t>
      </w:r>
      <w:r w:rsidRPr="001B76BD">
        <w:t xml:space="preserve"> radicado </w:t>
      </w:r>
      <w:r w:rsidR="00FD043C">
        <w:t xml:space="preserve"> de entrada </w:t>
      </w:r>
      <w:hyperlink r:id="rId4" w:anchor="2" w:history="1">
        <w:r w:rsidR="00FD043C" w:rsidRPr="00FD043C">
          <w:t>1-2026-028373</w:t>
        </w:r>
      </w:hyperlink>
      <w:r w:rsidRPr="001B76BD">
        <w:t>, se observa que dicho documento corresponde principalmente a un pronunciamiento gremial mediante el cual los peticionarios expresan su posición frente a la eventual utilización de infraestructura de transporte localizada en la República del Ecuador para la evacuación de hidrocarburos producidos en el departamento del Putumayo.</w:t>
      </w:r>
      <w:r>
        <w:t xml:space="preserve"> Al respecto, </w:t>
      </w:r>
      <w:r w:rsidRPr="001B76BD">
        <w:t>este Ministerio procede a pronunciarse respecto de la solicitud consistente en que cualquier decisión relacionada con la evacuación, comercialización o transporte de hidrocarburos producidos en dicho departamento incorpore previamente una evaluación integral de impacto socioeconómico y laboral y garantice la participación de organizaciones de trabajadores.</w:t>
      </w:r>
    </w:p>
    <w:p w14:paraId="4CEA4CF3" w14:textId="77777777" w:rsidR="001B76BD" w:rsidRDefault="001B76BD" w:rsidP="001B76BD">
      <w:pPr>
        <w:widowControl w:val="0"/>
        <w:spacing w:after="0" w:line="240" w:lineRule="auto"/>
        <w:jc w:val="both"/>
      </w:pPr>
    </w:p>
    <w:p w14:paraId="392519B1" w14:textId="77777777" w:rsidR="001B76BD" w:rsidRDefault="001B76BD" w:rsidP="001B76BD">
      <w:pPr>
        <w:widowControl w:val="0"/>
        <w:spacing w:after="0" w:line="240" w:lineRule="auto"/>
        <w:jc w:val="both"/>
      </w:pPr>
      <w:r w:rsidRPr="001B76BD">
        <w:t>Frente a dicha solicitud, este Ministerio se permite informar que actualmente no cursa actuación administrativa alguna orientada a adoptar una decisión relacionada con la definición de una modalidad específica para la evacuación, comercialización o transporte de hidrocarburos producidos en el departamento del Putumayo.</w:t>
      </w:r>
    </w:p>
    <w:p w14:paraId="43D459BB" w14:textId="77777777" w:rsidR="001B76BD" w:rsidRPr="001B76BD" w:rsidRDefault="001B76BD" w:rsidP="001B76BD">
      <w:pPr>
        <w:widowControl w:val="0"/>
        <w:spacing w:after="0" w:line="240" w:lineRule="auto"/>
        <w:jc w:val="both"/>
      </w:pPr>
    </w:p>
    <w:p w14:paraId="5F575FC9" w14:textId="1B4E3EA0" w:rsidR="001B76BD" w:rsidRDefault="001B76BD" w:rsidP="001B76BD">
      <w:pPr>
        <w:widowControl w:val="0"/>
        <w:spacing w:after="0" w:line="240" w:lineRule="auto"/>
        <w:jc w:val="both"/>
      </w:pPr>
      <w:r w:rsidRPr="001B76BD">
        <w:t xml:space="preserve">Adicionalmente, resulta pertinente precisar que el Ministerio de Minas y Energía no ostenta competencia legal para determinar las condiciones comerciales, logísticas u operativas bajo las cuales los productores de hidrocarburos deben comercializar o transportar su producción. En efecto, de conformidad con el principio de legalidad que rige el ejercicio de la función administrativa y con las funciones asignadas a esta </w:t>
      </w:r>
      <w:r>
        <w:t>c</w:t>
      </w:r>
      <w:r w:rsidRPr="001B76BD">
        <w:t>artera mediante el Decreto 381 de 2012, corresponde al Ministerio formular, adoptar, dirigir y coordinar la política pública del sector minero energético, así como expedir la regulación y lineamientos sectoriales que resulten aplicables. Sin embargo, dentro de dicho marco competencial no se encuentra la facultad de ordenar a los productores la utilización de un determinado modo de transporte, una infraestructura específica o una ruta logística particular para la evacuación de hidrocarburos.</w:t>
      </w:r>
    </w:p>
    <w:p w14:paraId="61EBAF00" w14:textId="77777777" w:rsidR="001B76BD" w:rsidRPr="001B76BD" w:rsidRDefault="001B76BD" w:rsidP="001B76BD">
      <w:pPr>
        <w:widowControl w:val="0"/>
        <w:spacing w:after="0" w:line="240" w:lineRule="auto"/>
        <w:jc w:val="both"/>
      </w:pPr>
    </w:p>
    <w:p w14:paraId="36027C9C" w14:textId="77777777" w:rsidR="001B76BD" w:rsidRDefault="001B76BD" w:rsidP="001B76BD">
      <w:pPr>
        <w:widowControl w:val="0"/>
        <w:spacing w:after="0" w:line="240" w:lineRule="auto"/>
        <w:jc w:val="both"/>
      </w:pPr>
      <w:r w:rsidRPr="001B76BD">
        <w:t>En ese sentido, la selección entre transporte por oleoducto, transporte terrestre mediante carrotanques u otras alternativas logísticas legalmente habilitadas constituye una decisión que corresponde adoptar a los productores y demás agentes de la cadena de hidrocarburos dentro del marco jurídico aplicable. En consecuencia, esta Entidad carece de competencia para ordenar, privilegiar, restringir o condicionar la utilización de una modalidad específica de transporte o de determinada infraestructura para la evacuación de hidrocarburos, así como para intervenir en la definición de las condiciones comerciales, operativas o de eficiencia económica bajo las cuales los agentes desarrollan sus actividades.</w:t>
      </w:r>
    </w:p>
    <w:p w14:paraId="4C894C0B" w14:textId="77777777" w:rsidR="001B76BD" w:rsidRPr="001B76BD" w:rsidRDefault="001B76BD" w:rsidP="001B76BD">
      <w:pPr>
        <w:widowControl w:val="0"/>
        <w:spacing w:after="0" w:line="240" w:lineRule="auto"/>
        <w:jc w:val="both"/>
      </w:pPr>
    </w:p>
    <w:p w14:paraId="1873374E" w14:textId="77777777" w:rsidR="001B76BD" w:rsidRDefault="001B76BD" w:rsidP="001B76BD">
      <w:pPr>
        <w:widowControl w:val="0"/>
        <w:spacing w:after="0" w:line="240" w:lineRule="auto"/>
        <w:jc w:val="both"/>
      </w:pPr>
      <w:r w:rsidRPr="001B76BD">
        <w:t xml:space="preserve">De igual forma, no existe disposición legal que atribuya al Ministerio de Minas y Energía la facultad de someter a procesos de concertación o participación previa de organizaciones sindicales las decisiones comerciales y logísticas que </w:t>
      </w:r>
      <w:r w:rsidRPr="001B76BD">
        <w:lastRenderedPageBreak/>
        <w:t>autónomamente adopten los productores respecto de la evacuación y comercialización de su producción. Por consiguiente, la solicitud elevada por los peticionarios no corresponde a una actuación que pueda ser adelantada por esta Cartera Ministerial en ejercicio de las competencias que le han sido legalmente asignadas.</w:t>
      </w:r>
    </w:p>
    <w:p w14:paraId="3CF7AC26" w14:textId="77777777" w:rsidR="001B76BD" w:rsidRPr="001B76BD" w:rsidRDefault="001B76BD" w:rsidP="001B76BD">
      <w:pPr>
        <w:widowControl w:val="0"/>
        <w:spacing w:after="0" w:line="240" w:lineRule="auto"/>
        <w:jc w:val="both"/>
      </w:pPr>
    </w:p>
    <w:p w14:paraId="737DCF19" w14:textId="77777777" w:rsidR="00606B6C" w:rsidRDefault="00606B6C" w:rsidP="00606B6C">
      <w:pPr>
        <w:widowControl w:val="0"/>
        <w:spacing w:after="0" w:line="240" w:lineRule="auto"/>
        <w:jc w:val="both"/>
      </w:pPr>
      <w:r w:rsidRPr="00606B6C">
        <w:t xml:space="preserve">Ahora bien, frente a las manifestaciones relacionadas con la utilización de infraestructura localizada en la República del Ecuador, es importante señalar que el escenario descrito en el comunicado no corresponde a una política pública del Gobierno Nacional orientada a trasladar operaciones fuera del territorio colombiano. Por el contrario, los antecedentes recientes evidencian que el transporte de crudo colombiano a través de infraestructura ecuatoriana correspondía a una operación que se desarrollaba de manera regular con anterioridad a diciembre de 2025 y que posteriormente se vio afectada por medidas adoptadas unilateralmente por la República del Ecuador, entre ellas las restricciones impuestas al tránsito por el paso fronterizo de San Miguel </w:t>
      </w:r>
      <w:r w:rsidRPr="001B76BD">
        <w:t xml:space="preserve">y </w:t>
      </w:r>
      <w:r>
        <w:t xml:space="preserve">el incremento de la tarifa de servicio de transporte de hidrocarburos por el </w:t>
      </w:r>
      <w:r w:rsidRPr="0090486C">
        <w:t xml:space="preserve">Sistema de Oleoducto Transecuatoriano </w:t>
      </w:r>
      <w:r>
        <w:t>a</w:t>
      </w:r>
      <w:r w:rsidRPr="001B76BD">
        <w:t xml:space="preserve"> los agentes colombianos</w:t>
      </w:r>
      <w:r>
        <w:t>.</w:t>
      </w:r>
    </w:p>
    <w:p w14:paraId="214DD2DD" w14:textId="77777777" w:rsidR="00606B6C" w:rsidRPr="00606B6C" w:rsidRDefault="00606B6C" w:rsidP="00606B6C">
      <w:pPr>
        <w:widowControl w:val="0"/>
        <w:spacing w:after="0" w:line="240" w:lineRule="auto"/>
        <w:jc w:val="both"/>
      </w:pPr>
    </w:p>
    <w:p w14:paraId="0F387ED7" w14:textId="77777777" w:rsidR="00606B6C" w:rsidRPr="00606B6C" w:rsidRDefault="00606B6C" w:rsidP="00606B6C">
      <w:pPr>
        <w:widowControl w:val="0"/>
        <w:spacing w:after="0" w:line="240" w:lineRule="auto"/>
        <w:jc w:val="both"/>
      </w:pPr>
      <w:r w:rsidRPr="00606B6C">
        <w:t>Como consecuencia de dichas restricciones, diversos productores y agentes de la industria implementaron alternativas temporales de evacuación dentro del territorio nacional, incluyendo el transporte terrestre mediante carrotanques y la utilización de infraestructura nacional de transporte por ductos, particularmente a través del sistema del Oleoducto Central de Colombia, con el fin de garantizar la continuidad de las operaciones y el acceso a mercados de exportación. Tales decisiones obedecieron a determinaciones empresariales adoptadas por los respectivos agentes económicos frente a las condiciones de mercado existentes en ese momento y no a una instrucción o directriz impartida por el Ministerio de Minas y Energía.</w:t>
      </w:r>
    </w:p>
    <w:p w14:paraId="4B9CDBD5" w14:textId="77777777" w:rsidR="00FB4266" w:rsidRPr="001B76BD" w:rsidRDefault="00FB4266" w:rsidP="001B76BD">
      <w:pPr>
        <w:widowControl w:val="0"/>
        <w:spacing w:after="0" w:line="240" w:lineRule="auto"/>
        <w:jc w:val="both"/>
      </w:pPr>
    </w:p>
    <w:p w14:paraId="5C4CA8EC" w14:textId="590A0CDE" w:rsidR="001B76BD" w:rsidRDefault="001B76BD" w:rsidP="001B76BD">
      <w:pPr>
        <w:widowControl w:val="0"/>
        <w:spacing w:after="0" w:line="240" w:lineRule="auto"/>
        <w:jc w:val="both"/>
      </w:pPr>
      <w:r w:rsidRPr="001B76BD">
        <w:t xml:space="preserve">Precisamente, la República de Colombia promovió ante la Secretaría General de la Comunidad Andina las actuaciones previstas en el ordenamiento comunitario andino para controvertir </w:t>
      </w:r>
      <w:r w:rsidR="001E01ED">
        <w:t>la primera</w:t>
      </w:r>
      <w:r w:rsidRPr="001B76BD">
        <w:t xml:space="preserve"> restricci</w:t>
      </w:r>
      <w:r w:rsidR="001E01ED">
        <w:t>ón</w:t>
      </w:r>
      <w:r w:rsidRPr="001B76BD">
        <w:t>. Como resultado de dicho procedimiento, mediante Resolución 2590 del 14 de mayo de 2026, la Secretaría General de la Comunidad Andina calificó la medida adoptada por la República del Ecuador como una restricción al comercio subregional andino y ordenó su retiro dentro del plazo establecido en dicho acto administrativo. Posteriormente, ante la persistencia de dicha situación, la República de Colombia promovió la correspondiente acción de incumplimiento ante las instancias comunitarias, con el fin de obtener la plena observancia de las obligaciones derivadas del Acuerdo de Cartagena por parte de la República del Ecuador.</w:t>
      </w:r>
    </w:p>
    <w:p w14:paraId="1A19CA56" w14:textId="77777777" w:rsidR="001E01ED" w:rsidRPr="001B76BD" w:rsidRDefault="001E01ED" w:rsidP="001B76BD">
      <w:pPr>
        <w:widowControl w:val="0"/>
        <w:spacing w:after="0" w:line="240" w:lineRule="auto"/>
        <w:jc w:val="both"/>
      </w:pPr>
    </w:p>
    <w:p w14:paraId="03F95B00" w14:textId="577DF005" w:rsidR="001B76BD" w:rsidRDefault="001B76BD" w:rsidP="001B76BD">
      <w:pPr>
        <w:widowControl w:val="0"/>
        <w:spacing w:after="0" w:line="240" w:lineRule="auto"/>
        <w:jc w:val="both"/>
      </w:pPr>
      <w:r w:rsidRPr="001B76BD">
        <w:t xml:space="preserve">En consecuencia, el restablecimiento de las condiciones de tránsito y acceso a la infraestructura ecuatoriana no constituye la creación de una nueva alternativa logística ni una decisión estatal orientada a trasladar operaciones fuera del país, sino </w:t>
      </w:r>
      <w:r w:rsidRPr="001B76BD">
        <w:lastRenderedPageBreak/>
        <w:t>el restablecimiento de las condiciones existentes con anterioridad a la imposición de las restricciones adoptadas por la República del Ecuador. Dentro de ese contexto, la eventual reanudación de operaciones de transporte de crudo a través del SOTE corresponde al restablecimiento de una alternativa logística que históricamente había sido utilizada por algunos productores y no a una decisión impuesta, promovida o direccionada por el Ministerio de Minas y Energía.</w:t>
      </w:r>
    </w:p>
    <w:p w14:paraId="3284652F" w14:textId="77777777" w:rsidR="0090486C" w:rsidRPr="001B76BD" w:rsidRDefault="0090486C" w:rsidP="001B76BD">
      <w:pPr>
        <w:widowControl w:val="0"/>
        <w:spacing w:after="0" w:line="240" w:lineRule="auto"/>
        <w:jc w:val="both"/>
      </w:pPr>
    </w:p>
    <w:p w14:paraId="1024CCBF" w14:textId="77777777" w:rsidR="001B76BD" w:rsidRDefault="001B76BD" w:rsidP="001B76BD">
      <w:pPr>
        <w:widowControl w:val="0"/>
        <w:spacing w:after="0" w:line="240" w:lineRule="auto"/>
        <w:jc w:val="both"/>
      </w:pPr>
      <w:r w:rsidRPr="001B76BD">
        <w:t>Finalmente, se reitera que las decisiones que eventualmente adopten los productores respecto del uso de la infraestructura de transporte disponible en Colombia o en el Ecuador corresponderán al ámbito de sus decisiones empresariales y comerciales, bajo su exclusiva responsabilidad y dentro del marco jurídico aplicable, sin que exista competencia legal por parte del Ministerio de Minas y Energía para intervenir en la definición de la alternativa logística que consideren más conveniente o eficiente para la evacuación y comercialización de su producción.</w:t>
      </w:r>
    </w:p>
    <w:p w14:paraId="26AF5BBC" w14:textId="77777777" w:rsidR="0090486C" w:rsidRPr="001B76BD" w:rsidRDefault="0090486C" w:rsidP="001B76BD">
      <w:pPr>
        <w:widowControl w:val="0"/>
        <w:spacing w:after="0" w:line="240" w:lineRule="auto"/>
        <w:jc w:val="both"/>
      </w:pPr>
    </w:p>
    <w:p w14:paraId="6ECF6246" w14:textId="77777777" w:rsidR="001B76BD" w:rsidRPr="001B76BD" w:rsidRDefault="001B76BD" w:rsidP="001B76BD">
      <w:pPr>
        <w:widowControl w:val="0"/>
        <w:spacing w:after="0" w:line="240" w:lineRule="auto"/>
        <w:jc w:val="both"/>
      </w:pPr>
      <w:r w:rsidRPr="001B76BD">
        <w:t>Sin perjuicio de lo anterior, este Ministerio reconoce la importancia de las consideraciones expuestas por las organizaciones sindicales en relación con el empleo, el desarrollo económico regional y el bienestar de las comunidades vinculadas a la cadena de hidrocarburos en el departamento del Putumayo. En consecuencia, las observaciones contenidas en el escrito serán tenidas en consideración en el marco de las competencias constitucionales y legales asignadas a esta Cartera, particularmente en lo relacionado con el seguimiento a las dinámicas del sector de hidrocarburos y la formulación de política pública sectorial.</w:t>
      </w:r>
    </w:p>
    <w:p w14:paraId="311C381A" w14:textId="77777777" w:rsidR="00D378F1" w:rsidRPr="001B76BD" w:rsidRDefault="00D378F1" w:rsidP="001B76BD">
      <w:pPr>
        <w:widowControl w:val="0"/>
        <w:spacing w:after="0" w:line="240" w:lineRule="auto"/>
        <w:jc w:val="both"/>
      </w:pPr>
    </w:p>
    <w:sectPr w:rsidR="00D378F1" w:rsidRPr="001B76B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195"/>
    <w:rsid w:val="00052195"/>
    <w:rsid w:val="001B76BD"/>
    <w:rsid w:val="001E01ED"/>
    <w:rsid w:val="00201363"/>
    <w:rsid w:val="002F682F"/>
    <w:rsid w:val="003E375D"/>
    <w:rsid w:val="00584964"/>
    <w:rsid w:val="00606B6C"/>
    <w:rsid w:val="00665BF4"/>
    <w:rsid w:val="00776EB9"/>
    <w:rsid w:val="007E0EA7"/>
    <w:rsid w:val="0090486C"/>
    <w:rsid w:val="00972E59"/>
    <w:rsid w:val="00AB1CE7"/>
    <w:rsid w:val="00D378F1"/>
    <w:rsid w:val="00E86FDF"/>
    <w:rsid w:val="00FB4266"/>
    <w:rsid w:val="00FD043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D51F2"/>
  <w15:chartTrackingRefBased/>
  <w15:docId w15:val="{61A2A505-E767-449F-81D3-1822447B1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521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521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5219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5219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5219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5219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5219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5219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5219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5219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5219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5219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5219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5219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5219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5219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5219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52195"/>
    <w:rPr>
      <w:rFonts w:eastAsiaTheme="majorEastAsia" w:cstheme="majorBidi"/>
      <w:color w:val="272727" w:themeColor="text1" w:themeTint="D8"/>
    </w:rPr>
  </w:style>
  <w:style w:type="paragraph" w:styleId="Ttulo">
    <w:name w:val="Title"/>
    <w:basedOn w:val="Normal"/>
    <w:next w:val="Normal"/>
    <w:link w:val="TtuloCar"/>
    <w:uiPriority w:val="10"/>
    <w:qFormat/>
    <w:rsid w:val="000521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5219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5219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5219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52195"/>
    <w:pPr>
      <w:spacing w:before="160"/>
      <w:jc w:val="center"/>
    </w:pPr>
    <w:rPr>
      <w:i/>
      <w:iCs/>
      <w:color w:val="404040" w:themeColor="text1" w:themeTint="BF"/>
    </w:rPr>
  </w:style>
  <w:style w:type="character" w:customStyle="1" w:styleId="CitaCar">
    <w:name w:val="Cita Car"/>
    <w:basedOn w:val="Fuentedeprrafopredeter"/>
    <w:link w:val="Cita"/>
    <w:uiPriority w:val="29"/>
    <w:rsid w:val="00052195"/>
    <w:rPr>
      <w:i/>
      <w:iCs/>
      <w:color w:val="404040" w:themeColor="text1" w:themeTint="BF"/>
    </w:rPr>
  </w:style>
  <w:style w:type="paragraph" w:styleId="Prrafodelista">
    <w:name w:val="List Paragraph"/>
    <w:basedOn w:val="Normal"/>
    <w:uiPriority w:val="34"/>
    <w:qFormat/>
    <w:rsid w:val="00052195"/>
    <w:pPr>
      <w:ind w:left="720"/>
      <w:contextualSpacing/>
    </w:pPr>
  </w:style>
  <w:style w:type="character" w:styleId="nfasisintenso">
    <w:name w:val="Intense Emphasis"/>
    <w:basedOn w:val="Fuentedeprrafopredeter"/>
    <w:uiPriority w:val="21"/>
    <w:qFormat/>
    <w:rsid w:val="00052195"/>
    <w:rPr>
      <w:i/>
      <w:iCs/>
      <w:color w:val="0F4761" w:themeColor="accent1" w:themeShade="BF"/>
    </w:rPr>
  </w:style>
  <w:style w:type="paragraph" w:styleId="Citadestacada">
    <w:name w:val="Intense Quote"/>
    <w:basedOn w:val="Normal"/>
    <w:next w:val="Normal"/>
    <w:link w:val="CitadestacadaCar"/>
    <w:uiPriority w:val="30"/>
    <w:qFormat/>
    <w:rsid w:val="000521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52195"/>
    <w:rPr>
      <w:i/>
      <w:iCs/>
      <w:color w:val="0F4761" w:themeColor="accent1" w:themeShade="BF"/>
    </w:rPr>
  </w:style>
  <w:style w:type="character" w:styleId="Referenciaintensa">
    <w:name w:val="Intense Reference"/>
    <w:basedOn w:val="Fuentedeprrafopredeter"/>
    <w:uiPriority w:val="32"/>
    <w:qFormat/>
    <w:rsid w:val="00052195"/>
    <w:rPr>
      <w:b/>
      <w:bCs/>
      <w:smallCaps/>
      <w:color w:val="0F4761" w:themeColor="accent1" w:themeShade="BF"/>
      <w:spacing w:val="5"/>
    </w:rPr>
  </w:style>
  <w:style w:type="character" w:styleId="Hipervnculo">
    <w:name w:val="Hyperlink"/>
    <w:basedOn w:val="Fuentedeprrafopredeter"/>
    <w:uiPriority w:val="99"/>
    <w:unhideWhenUsed/>
    <w:rsid w:val="00FD043C"/>
    <w:rPr>
      <w:color w:val="467886" w:themeColor="hyperlink"/>
      <w:u w:val="single"/>
    </w:rPr>
  </w:style>
  <w:style w:type="character" w:styleId="Mencinsinresolver">
    <w:name w:val="Unresolved Mention"/>
    <w:basedOn w:val="Fuentedeprrafopredeter"/>
    <w:uiPriority w:val="99"/>
    <w:semiHidden/>
    <w:unhideWhenUsed/>
    <w:rsid w:val="00FD04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argo.minenergia.gov.co/orfeo/verradicado.php?verrad=202640050283731&amp;nomcarpeta=Busquedas&amp;usua_root=&amp;consulta=1&amp;desde=clasica"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66</TotalTime>
  <Pages>3</Pages>
  <Words>1237</Words>
  <Characters>6808</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R. Gaviria Araque</dc:creator>
  <cp:keywords/>
  <dc:description/>
  <cp:lastModifiedBy>Cristian R. Gaviria Araque</cp:lastModifiedBy>
  <cp:revision>11</cp:revision>
  <dcterms:created xsi:type="dcterms:W3CDTF">2026-06-18T19:44:00Z</dcterms:created>
  <dcterms:modified xsi:type="dcterms:W3CDTF">2026-06-18T20:50:00Z</dcterms:modified>
</cp:coreProperties>
</file>